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word/media/image1.gif" ContentType="image/gif"/>
  <Override PartName="/word/footnotes.xml" ContentType="application/vnd.openxmlformats-officedocument.wordprocessingml.footnotes+xml"/>
  <Override PartName="/word/document.xml" ContentType="application/vnd.openxmlformats-officedocument.wordprocessingml.document.main+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bidi w:val="0"/>
        <w:spacing w:before="200" w:after="120"/>
        <w:jc w:val="center"/>
        <w:rPr>
          <w:rFonts w:ascii="Times New Roman" w:hAnsi="Times New Roman"/>
          <w:sz w:val="32"/>
          <w:szCs w:val="32"/>
        </w:rPr>
      </w:pPr>
      <w:r>
        <w:drawing>
          <wp:anchor distT="0" distB="0" distL="0" distR="0" simplePos="0" relativeHeight="2" behindDoc="0" locked="0" layoutInCell="0" allowOverlap="1">
            <wp:simplePos x="0" y="0"/>
            <wp:positionH relativeFrom="column">
              <wp:posOffset>-252095</wp:posOffset>
            </wp:positionH>
            <wp:positionV relativeFrom="paragraph">
              <wp:posOffset>-720090</wp:posOffset>
            </wp:positionV>
            <wp:extent cx="720725" cy="720725"/>
            <wp:effectExtent l="0" t="0" r="0" b="0"/>
            <wp:wrapSquare wrapText="largest"/>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a:blip r:embed="rId2"/>
                    <a:stretch>
                      <a:fillRect/>
                    </a:stretch>
                  </pic:blipFill>
                  <pic:spPr bwMode="auto">
                    <a:xfrm>
                      <a:off x="0" y="0"/>
                      <a:ext cx="720725" cy="720725"/>
                    </a:xfrm>
                    <a:prstGeom prst="rect">
                      <a:avLst/>
                    </a:prstGeom>
                    <a:noFill/>
                  </pic:spPr>
                </pic:pic>
              </a:graphicData>
            </a:graphic>
          </wp:anchor>
        </w:drawing>
      </w:r>
      <w:r>
        <w:rPr>
          <w:rFonts w:ascii="Times New Roman" w:hAnsi="Times New Roman"/>
          <w:b/>
          <w:sz w:val="32"/>
          <w:szCs w:val="32"/>
        </w:rPr>
        <w:t>L</w:t>
      </w:r>
      <w:r>
        <w:rPr>
          <w:rFonts w:ascii="Times New Roman" w:hAnsi="Times New Roman"/>
          <w:b/>
          <w:bCs/>
          <w:sz w:val="32"/>
          <w:szCs w:val="32"/>
        </w:rPr>
        <w:t>’habitat modulaire inclusif</w:t>
      </w:r>
      <w:r>
        <w:rPr>
          <w:rFonts w:ascii="Times New Roman" w:hAnsi="Times New Roman"/>
          <w:b/>
          <w:sz w:val="32"/>
          <w:szCs w:val="32"/>
        </w:rPr>
        <w:t>, socle des droits fondamentaux</w:t>
      </w:r>
    </w:p>
    <w:p>
      <w:pPr>
        <w:pStyle w:val="BodyText"/>
        <w:widowControl/>
        <w:suppressAutoHyphens w:val="true"/>
        <w:bidi w:val="0"/>
        <w:spacing w:lineRule="auto" w:line="276" w:before="0" w:after="0"/>
        <w:ind w:hanging="0" w:left="1644" w:right="1757"/>
        <w:jc w:val="center"/>
        <w:rPr>
          <w:rFonts w:ascii="Times New Roman" w:hAnsi="Times New Roman"/>
          <w:b w:val="false"/>
          <w:bCs w:val="false"/>
          <w:sz w:val="24"/>
          <w:szCs w:val="24"/>
        </w:rPr>
      </w:pPr>
      <w:r>
        <w:rPr/>
      </w:r>
    </w:p>
    <w:p>
      <w:pPr>
        <w:pStyle w:val="BodyText"/>
        <w:widowControl/>
        <w:suppressAutoHyphens w:val="true"/>
        <w:bidi w:val="0"/>
        <w:spacing w:lineRule="auto" w:line="276" w:before="0" w:after="0"/>
        <w:ind w:hanging="0" w:left="1361" w:right="1304"/>
        <w:jc w:val="center"/>
        <w:rPr/>
      </w:pPr>
      <w:r>
        <w:rPr>
          <w:rFonts w:ascii="Times New Roman" w:hAnsi="Times New Roman"/>
          <w:b w:val="false"/>
          <w:bCs w:val="false"/>
          <w:sz w:val="20"/>
          <w:szCs w:val="20"/>
        </w:rPr>
        <w:t>Région Europe de l’Organisation Mondiale des Personnes Handicapées (DPI-Europe)</w:t>
      </w:r>
    </w:p>
    <w:p>
      <w:pPr>
        <w:pStyle w:val="BodyText"/>
        <w:widowControl/>
        <w:suppressAutoHyphens w:val="true"/>
        <w:bidi w:val="0"/>
        <w:spacing w:lineRule="auto" w:line="276" w:before="0" w:after="0"/>
        <w:ind w:hanging="0" w:left="1644" w:right="1757"/>
        <w:jc w:val="center"/>
        <w:rPr>
          <w:b/>
          <w:bCs/>
          <w:sz w:val="28"/>
          <w:szCs w:val="28"/>
        </w:rPr>
      </w:pPr>
      <w:r>
        <w:rPr>
          <w:rFonts w:ascii="Times New Roman" w:hAnsi="Times New Roman"/>
          <w:b/>
          <w:bCs/>
          <w:sz w:val="28"/>
          <w:szCs w:val="28"/>
        </w:rPr>
        <w:t>14 avril 2026</w:t>
      </w:r>
    </w:p>
    <w:p>
      <w:pPr>
        <w:pStyle w:val="BodyText"/>
        <w:widowControl/>
        <w:suppressAutoHyphens w:val="true"/>
        <w:bidi w:val="0"/>
        <w:spacing w:lineRule="auto" w:line="276" w:before="0" w:after="0"/>
        <w:ind w:hanging="0" w:left="1644" w:right="1757"/>
        <w:jc w:val="center"/>
        <w:rPr/>
      </w:pPr>
      <w:r>
        <w:rPr>
          <w:rFonts w:ascii="Times New Roman" w:hAnsi="Times New Roman"/>
          <w:b w:val="false"/>
          <w:bCs w:val="false"/>
          <w:sz w:val="22"/>
          <w:szCs w:val="22"/>
        </w:rPr>
        <w:t xml:space="preserve">Commission Territoires </w:t>
      </w:r>
      <w:r>
        <w:rPr>
          <w:rFonts w:ascii="Times New Roman" w:hAnsi="Times New Roman"/>
          <w:b w:val="false"/>
          <w:i w:val="false"/>
          <w:caps w:val="false"/>
          <w:smallCaps w:val="false"/>
          <w:color w:val="666666"/>
          <w:spacing w:val="0"/>
          <w:sz w:val="22"/>
          <w:szCs w:val="22"/>
        </w:rPr>
        <w:t>inclusifs, environnement et santé</w:t>
      </w:r>
    </w:p>
    <w:p>
      <w:pPr>
        <w:pStyle w:val="BodyText"/>
        <w:widowControl/>
        <w:suppressAutoHyphens w:val="true"/>
        <w:bidi w:val="0"/>
        <w:spacing w:lineRule="auto" w:line="276" w:before="0" w:after="0"/>
        <w:ind w:hanging="0" w:left="1644" w:right="1757"/>
        <w:jc w:val="center"/>
        <w:rPr>
          <w:rFonts w:ascii="Times New Roman" w:hAnsi="Times New Roman"/>
          <w:b w:val="false"/>
          <w:i w:val="false"/>
          <w:caps w:val="false"/>
          <w:smallCaps w:val="false"/>
          <w:color w:val="666666"/>
          <w:spacing w:val="0"/>
          <w:sz w:val="18"/>
          <w:szCs w:val="18"/>
        </w:rPr>
      </w:pPr>
      <w:r>
        <w:rPr>
          <w:rFonts w:ascii="Times New Roman" w:hAnsi="Times New Roman"/>
          <w:b w:val="false"/>
          <w:i w:val="false"/>
          <w:caps w:val="false"/>
          <w:smallCaps w:val="false"/>
          <w:color w:val="666666"/>
          <w:spacing w:val="0"/>
          <w:sz w:val="18"/>
          <w:szCs w:val="18"/>
        </w:rPr>
        <w:t>du Forum des OING du Conseil de l’Europe.</w:t>
      </w:r>
    </w:p>
    <w:p>
      <w:pPr>
        <w:pStyle w:val="BodyText"/>
        <w:bidi w:val="0"/>
        <w:jc w:val="center"/>
        <w:rPr>
          <w:rFonts w:ascii="Times New Roman" w:hAnsi="Times New Roman"/>
          <w:b/>
          <w:sz w:val="32"/>
          <w:szCs w:val="32"/>
        </w:rPr>
      </w:pPr>
      <w:r>
        <w:rPr>
          <w:rFonts w:ascii="Times New Roman" w:hAnsi="Times New Roman"/>
          <w:b/>
          <w:sz w:val="32"/>
          <w:szCs w:val="32"/>
        </w:rPr>
      </w:r>
    </w:p>
    <w:p>
      <w:pPr>
        <w:pStyle w:val="BodyText"/>
        <w:numPr>
          <w:ilvl w:val="0"/>
          <w:numId w:val="1"/>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sz w:val="24"/>
          <w:szCs w:val="24"/>
        </w:rPr>
        <w:t xml:space="preserve">Pour exercer sa citoyenneté, son droit au travail ou à la santé, </w:t>
      </w:r>
      <w:r>
        <w:rPr>
          <w:rFonts w:ascii="Times New Roman" w:hAnsi="Times New Roman"/>
          <w:b/>
          <w:bCs/>
          <w:sz w:val="24"/>
          <w:szCs w:val="24"/>
        </w:rPr>
        <w:t>la première étape est un logement accessible et adapté</w:t>
      </w:r>
      <w:r>
        <w:rPr>
          <w:rStyle w:val="FootnoteReference"/>
          <w:rFonts w:ascii="Times New Roman" w:hAnsi="Times New Roman"/>
          <w:b/>
          <w:bCs/>
          <w:sz w:val="24"/>
          <w:szCs w:val="24"/>
        </w:rPr>
        <w:footnoteReference w:id="2"/>
      </w:r>
      <w:r>
        <w:rPr>
          <w:rFonts w:ascii="Times New Roman" w:hAnsi="Times New Roman"/>
          <w:b/>
          <w:bCs/>
          <w:sz w:val="24"/>
          <w:szCs w:val="24"/>
        </w:rPr>
        <w:t xml:space="preserve"> </w:t>
      </w:r>
      <w:r>
        <w:rPr>
          <w:rFonts w:ascii="Times New Roman" w:hAnsi="Times New Roman"/>
          <w:sz w:val="24"/>
          <w:szCs w:val="24"/>
        </w:rPr>
        <w:t>où il est possible de vivre dignement.</w:t>
      </w:r>
    </w:p>
    <w:p>
      <w:pPr>
        <w:pStyle w:val="BodyText"/>
        <w:numPr>
          <w:ilvl w:val="0"/>
          <w:numId w:val="1"/>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b/>
          <w:bCs/>
          <w:sz w:val="24"/>
          <w:szCs w:val="24"/>
        </w:rPr>
        <w:t xml:space="preserve">La Stratégie européenne relative aux droits </w:t>
      </w:r>
      <w:r>
        <w:rPr>
          <w:rFonts w:ascii="Times New Roman" w:hAnsi="Times New Roman"/>
          <w:sz w:val="24"/>
          <w:szCs w:val="24"/>
        </w:rPr>
        <w:t>des personnes handicapées 2021-2030 place la Vie-Autonome au cœur des priorités.</w:t>
      </w:r>
    </w:p>
    <w:p>
      <w:pPr>
        <w:pStyle w:val="BodyText"/>
        <w:widowControl/>
        <w:numPr>
          <w:ilvl w:val="0"/>
          <w:numId w:val="1"/>
        </w:numPr>
        <w:tabs>
          <w:tab w:val="clear" w:pos="567"/>
          <w:tab w:val="left" w:pos="709" w:leader="none"/>
        </w:tabs>
        <w:suppressAutoHyphens w:val="true"/>
        <w:bidi w:val="0"/>
        <w:spacing w:lineRule="auto" w:line="276" w:before="0" w:after="140"/>
        <w:ind w:hanging="283" w:left="737" w:right="-397"/>
        <w:jc w:val="both"/>
        <w:rPr>
          <w:rFonts w:ascii="Times New Roman" w:hAnsi="Times New Roman"/>
          <w:sz w:val="24"/>
          <w:szCs w:val="24"/>
        </w:rPr>
      </w:pPr>
      <w:r>
        <w:rPr>
          <w:rFonts w:ascii="Times New Roman" w:hAnsi="Times New Roman"/>
          <w:sz w:val="24"/>
          <w:szCs w:val="24"/>
        </w:rPr>
        <w:t xml:space="preserve">La question est maintenant de décider comment passer d'un logement « standardisé » facteur d’exclusion, à un </w:t>
      </w:r>
      <w:r>
        <w:rPr>
          <w:rFonts w:ascii="Times New Roman" w:hAnsi="Times New Roman"/>
          <w:b/>
          <w:bCs/>
          <w:sz w:val="24"/>
          <w:szCs w:val="24"/>
        </w:rPr>
        <w:t xml:space="preserve">habitat modulaire inclusif </w:t>
      </w:r>
      <w:r>
        <w:rPr>
          <w:rFonts w:ascii="Times New Roman" w:hAnsi="Times New Roman"/>
          <w:sz w:val="24"/>
          <w:szCs w:val="24"/>
        </w:rPr>
        <w:t>?</w:t>
      </w:r>
    </w:p>
    <w:p>
      <w:pPr>
        <w:pStyle w:val="Heading2"/>
        <w:bidi w:val="0"/>
        <w:jc w:val="left"/>
        <w:rPr>
          <w:rFonts w:ascii="Times New Roman" w:hAnsi="Times New Roman"/>
          <w:sz w:val="24"/>
          <w:szCs w:val="24"/>
        </w:rPr>
      </w:pPr>
      <w:r>
        <w:rPr>
          <w:rFonts w:ascii="Times New Roman" w:hAnsi="Times New Roman"/>
          <w:b/>
          <w:sz w:val="24"/>
          <w:szCs w:val="24"/>
        </w:rPr>
        <w:t>I. La fin du modèle unique</w:t>
      </w:r>
    </w:p>
    <w:p>
      <w:pPr>
        <w:pStyle w:val="BodyText"/>
        <w:numPr>
          <w:ilvl w:val="0"/>
          <w:numId w:val="2"/>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sz w:val="24"/>
          <w:szCs w:val="24"/>
        </w:rPr>
        <w:t xml:space="preserve">L'accessibilité dite « universelle » reste un mythe sans une personnalisation qui vise à </w:t>
      </w:r>
      <w:r>
        <w:rPr>
          <w:rFonts w:ascii="Times New Roman" w:hAnsi="Times New Roman"/>
          <w:b/>
          <w:bCs/>
          <w:sz w:val="24"/>
          <w:szCs w:val="24"/>
        </w:rPr>
        <w:t>l’ajustement de l’environnement aux capacités de chacun</w:t>
      </w:r>
      <w:r>
        <w:rPr>
          <w:rFonts w:ascii="Times New Roman" w:hAnsi="Times New Roman"/>
          <w:sz w:val="24"/>
          <w:szCs w:val="24"/>
        </w:rPr>
        <w:t>.</w:t>
      </w:r>
    </w:p>
    <w:p>
      <w:pPr>
        <w:pStyle w:val="BodyText"/>
        <w:widowControl/>
        <w:numPr>
          <w:ilvl w:val="0"/>
          <w:numId w:val="2"/>
        </w:numPr>
        <w:tabs>
          <w:tab w:val="clear" w:pos="567"/>
          <w:tab w:val="left" w:pos="1418" w:leader="none"/>
        </w:tabs>
        <w:suppressAutoHyphens w:val="true"/>
        <w:bidi w:val="0"/>
        <w:spacing w:lineRule="auto" w:line="276" w:before="0" w:after="140"/>
        <w:ind w:hanging="283" w:left="964" w:right="0"/>
        <w:jc w:val="both"/>
        <w:rPr>
          <w:rFonts w:ascii="Times New Roman" w:hAnsi="Times New Roman"/>
          <w:sz w:val="24"/>
          <w:szCs w:val="24"/>
        </w:rPr>
      </w:pPr>
      <w:r>
        <w:rPr>
          <w:rFonts w:ascii="Times New Roman" w:hAnsi="Times New Roman"/>
          <w:b/>
          <w:sz w:val="24"/>
          <w:szCs w:val="24"/>
        </w:rPr>
        <w:t xml:space="preserve">Une personne paraplégique </w:t>
      </w:r>
      <w:r>
        <w:rPr>
          <w:rFonts w:ascii="Times New Roman" w:hAnsi="Times New Roman"/>
          <w:b w:val="false"/>
          <w:bCs w:val="false"/>
          <w:sz w:val="24"/>
          <w:szCs w:val="24"/>
        </w:rPr>
        <w:t>a, par exemple, b</w:t>
      </w:r>
      <w:r>
        <w:rPr>
          <w:rFonts w:ascii="Times New Roman" w:hAnsi="Times New Roman"/>
          <w:sz w:val="24"/>
          <w:szCs w:val="24"/>
        </w:rPr>
        <w:t>esoin de larges rayons de giration, d'espaces dégagés pour la manipulation du fauteuil et de seuils totalement effacés.</w:t>
      </w:r>
    </w:p>
    <w:p>
      <w:pPr>
        <w:pStyle w:val="BodyText"/>
        <w:widowControl/>
        <w:numPr>
          <w:ilvl w:val="0"/>
          <w:numId w:val="2"/>
        </w:numPr>
        <w:tabs>
          <w:tab w:val="clear" w:pos="567"/>
          <w:tab w:val="left" w:pos="1418" w:leader="none"/>
        </w:tabs>
        <w:suppressAutoHyphens w:val="true"/>
        <w:bidi w:val="0"/>
        <w:spacing w:lineRule="auto" w:line="276" w:before="0" w:after="140"/>
        <w:ind w:hanging="283" w:left="964" w:right="0"/>
        <w:jc w:val="both"/>
        <w:rPr>
          <w:rFonts w:ascii="Times New Roman" w:hAnsi="Times New Roman"/>
          <w:sz w:val="24"/>
          <w:szCs w:val="24"/>
        </w:rPr>
      </w:pPr>
      <w:r>
        <w:rPr>
          <w:rFonts w:ascii="Times New Roman" w:hAnsi="Times New Roman"/>
          <w:b/>
          <w:sz w:val="24"/>
          <w:szCs w:val="24"/>
        </w:rPr>
        <w:t xml:space="preserve">Une personne aveugle </w:t>
      </w:r>
      <w:r>
        <w:rPr>
          <w:rFonts w:ascii="Times New Roman" w:hAnsi="Times New Roman"/>
          <w:b w:val="false"/>
          <w:bCs w:val="false"/>
          <w:sz w:val="24"/>
          <w:szCs w:val="24"/>
        </w:rPr>
        <w:t xml:space="preserve">a, elle, besoin de </w:t>
      </w:r>
      <w:r>
        <w:rPr>
          <w:rFonts w:ascii="Times New Roman" w:hAnsi="Times New Roman"/>
          <w:sz w:val="24"/>
          <w:szCs w:val="24"/>
        </w:rPr>
        <w:t>distances réduites entre les points d'appui et d’une acoustique maîtrisée pour s’orienter et circuler en sécurité</w:t>
      </w:r>
      <w:r>
        <w:rPr>
          <w:rFonts w:ascii="Times New Roman" w:hAnsi="Times New Roman"/>
          <w:b w:val="false"/>
          <w:bCs w:val="false"/>
          <w:sz w:val="24"/>
          <w:szCs w:val="24"/>
        </w:rPr>
        <w:t>.</w:t>
      </w:r>
      <w:r>
        <w:rPr>
          <w:rFonts w:ascii="Times New Roman" w:hAnsi="Times New Roman"/>
          <w:sz w:val="24"/>
          <w:szCs w:val="24"/>
        </w:rPr>
        <w:t xml:space="preserve"> Un espace trop vaste peut être anxiogène et désorientant.</w:t>
      </w:r>
    </w:p>
    <w:p>
      <w:pPr>
        <w:pStyle w:val="BodyText"/>
        <w:widowControl/>
        <w:numPr>
          <w:ilvl w:val="0"/>
          <w:numId w:val="2"/>
        </w:numPr>
        <w:tabs>
          <w:tab w:val="clear" w:pos="567"/>
          <w:tab w:val="left" w:pos="1418" w:leader="none"/>
        </w:tabs>
        <w:suppressAutoHyphens w:val="true"/>
        <w:bidi w:val="0"/>
        <w:spacing w:lineRule="auto" w:line="276" w:before="0" w:after="140"/>
        <w:ind w:hanging="283" w:left="964" w:right="0"/>
        <w:jc w:val="both"/>
        <w:rPr>
          <w:rFonts w:ascii="Times New Roman" w:hAnsi="Times New Roman"/>
          <w:sz w:val="24"/>
          <w:szCs w:val="24"/>
        </w:rPr>
      </w:pPr>
      <w:r>
        <w:rPr>
          <w:rFonts w:ascii="Times New Roman" w:hAnsi="Times New Roman"/>
          <w:b/>
          <w:bCs/>
          <w:sz w:val="24"/>
          <w:szCs w:val="24"/>
        </w:rPr>
        <w:t xml:space="preserve">Une personne autiste </w:t>
      </w:r>
      <w:r>
        <w:rPr>
          <w:rFonts w:ascii="Times New Roman" w:hAnsi="Times New Roman"/>
          <w:sz w:val="24"/>
          <w:szCs w:val="24"/>
        </w:rPr>
        <w:t>s’attachera, elle, en priorité à la localisation de l’hébergement, déterminée par la proximité des transports et des services, la présence d’espaces de socialisation, la proximité ou l’éloignement des personnes ressources.</w:t>
      </w:r>
    </w:p>
    <w:p>
      <w:pPr>
        <w:pStyle w:val="BodyText"/>
        <w:numPr>
          <w:ilvl w:val="0"/>
          <w:numId w:val="2"/>
        </w:numPr>
        <w:tabs>
          <w:tab w:val="clear" w:pos="567"/>
          <w:tab w:val="left" w:pos="709" w:leader="none"/>
        </w:tabs>
        <w:bidi w:val="0"/>
        <w:ind w:hanging="283" w:left="709"/>
        <w:jc w:val="left"/>
        <w:rPr>
          <w:rFonts w:ascii="Times New Roman" w:hAnsi="Times New Roman"/>
          <w:b/>
          <w:bCs/>
          <w:sz w:val="24"/>
          <w:szCs w:val="24"/>
        </w:rPr>
      </w:pPr>
      <w:r>
        <w:rPr>
          <w:rFonts w:ascii="Times New Roman" w:hAnsi="Times New Roman"/>
          <w:b/>
          <w:bCs/>
          <w:sz w:val="24"/>
          <w:szCs w:val="24"/>
        </w:rPr>
        <w:t xml:space="preserve">La logique de construction de logements modernes et accessibles. </w:t>
      </w:r>
    </w:p>
    <w:p>
      <w:pPr>
        <w:pStyle w:val="BodyText"/>
        <w:widowControl/>
        <w:numPr>
          <w:ilvl w:val="1"/>
          <w:numId w:val="2"/>
        </w:numPr>
        <w:tabs>
          <w:tab w:val="clear" w:pos="567"/>
          <w:tab w:val="left" w:pos="709" w:leader="none"/>
        </w:tabs>
        <w:suppressAutoHyphens w:val="true"/>
        <w:bidi w:val="0"/>
        <w:spacing w:lineRule="auto" w:line="276" w:before="0" w:after="140"/>
        <w:ind w:hanging="283" w:left="964" w:right="0"/>
        <w:jc w:val="both"/>
        <w:rPr/>
      </w:pPr>
      <w:r>
        <w:rPr>
          <w:rFonts w:ascii="Times New Roman" w:hAnsi="Times New Roman"/>
          <w:b/>
          <w:bCs/>
          <w:sz w:val="24"/>
          <w:szCs w:val="24"/>
        </w:rPr>
        <w:t xml:space="preserve">Le socle commun est constitué de la structure porteuse </w:t>
      </w:r>
      <w:r>
        <w:rPr>
          <w:rFonts w:ascii="Times New Roman" w:hAnsi="Times New Roman"/>
          <w:b w:val="false"/>
          <w:bCs w:val="false"/>
          <w:sz w:val="24"/>
          <w:szCs w:val="24"/>
        </w:rPr>
        <w:t xml:space="preserve">(Fondations, murs et dalles…) et </w:t>
      </w:r>
      <w:r>
        <w:rPr>
          <w:rFonts w:ascii="Times New Roman" w:hAnsi="Times New Roman"/>
          <w:sz w:val="24"/>
          <w:szCs w:val="24"/>
        </w:rPr>
        <w:t>garanti la sécurité incendie, la solidité et l'accès extérieur. C’est le cadre fixe qui doit être irréprochable et réfléchi pour envisager les adaptations futures pour repositionner des interrupteurs ou des sanitaires, installer un ascenseur ou la pose d’un siphon de sol...).</w:t>
      </w:r>
    </w:p>
    <w:p>
      <w:pPr>
        <w:pStyle w:val="BodyText"/>
        <w:widowControl/>
        <w:numPr>
          <w:ilvl w:val="1"/>
          <w:numId w:val="2"/>
        </w:numPr>
        <w:tabs>
          <w:tab w:val="clear" w:pos="567"/>
          <w:tab w:val="left" w:pos="709" w:leader="none"/>
        </w:tabs>
        <w:suppressAutoHyphens w:val="true"/>
        <w:bidi w:val="0"/>
        <w:spacing w:lineRule="auto" w:line="276" w:before="0" w:after="140"/>
        <w:ind w:hanging="283" w:left="964" w:right="0"/>
        <w:jc w:val="both"/>
        <w:rPr/>
      </w:pPr>
      <w:r>
        <w:rPr>
          <w:rFonts w:ascii="Times New Roman" w:hAnsi="Times New Roman"/>
          <w:b/>
          <w:sz w:val="24"/>
          <w:szCs w:val="24"/>
        </w:rPr>
        <w:t>L</w:t>
      </w:r>
      <w:r>
        <w:rPr>
          <w:rFonts w:ascii="Times New Roman" w:hAnsi="Times New Roman"/>
          <w:b/>
          <w:bCs/>
          <w:sz w:val="24"/>
          <w:szCs w:val="24"/>
        </w:rPr>
        <w:t xml:space="preserve">’habitat modulaire inclusif </w:t>
      </w:r>
      <w:r>
        <w:rPr>
          <w:rFonts w:ascii="Times New Roman" w:hAnsi="Times New Roman"/>
          <w:sz w:val="24"/>
          <w:szCs w:val="24"/>
        </w:rPr>
        <w:t xml:space="preserve">permet de cloisonner ou décloisonner facilement sans toucher aux </w:t>
      </w:r>
      <w:r>
        <w:rPr>
          <w:rFonts w:ascii="Times New Roman" w:hAnsi="Times New Roman"/>
          <w:b/>
          <w:sz w:val="24"/>
          <w:szCs w:val="24"/>
        </w:rPr>
        <w:t>éléments structurels</w:t>
      </w:r>
      <w:r>
        <w:rPr>
          <w:rFonts w:ascii="Times New Roman" w:hAnsi="Times New Roman"/>
          <w:b w:val="false"/>
          <w:bCs w:val="false"/>
          <w:sz w:val="24"/>
          <w:szCs w:val="24"/>
        </w:rPr>
        <w:t xml:space="preserve">, pour répondre au mieux aux capacités et </w:t>
      </w:r>
      <w:r>
        <w:rPr>
          <w:rFonts w:ascii="Times New Roman" w:hAnsi="Times New Roman"/>
          <w:sz w:val="24"/>
          <w:szCs w:val="24"/>
        </w:rPr>
        <w:t>mode de vie de l'occupant.</w:t>
      </w:r>
    </w:p>
    <w:p>
      <w:pPr>
        <w:pStyle w:val="BodyText"/>
        <w:widowControl/>
        <w:numPr>
          <w:ilvl w:val="1"/>
          <w:numId w:val="2"/>
        </w:numPr>
        <w:tabs>
          <w:tab w:val="clear" w:pos="567"/>
          <w:tab w:val="left" w:pos="709" w:leader="none"/>
        </w:tabs>
        <w:suppressAutoHyphens w:val="true"/>
        <w:bidi w:val="0"/>
        <w:spacing w:lineRule="auto" w:line="276" w:before="0" w:after="140"/>
        <w:ind w:hanging="283" w:left="964" w:right="0"/>
        <w:jc w:val="both"/>
        <w:rPr/>
      </w:pPr>
      <w:r>
        <w:rPr>
          <w:rFonts w:ascii="Times New Roman" w:hAnsi="Times New Roman"/>
          <w:b/>
          <w:bCs/>
          <w:sz w:val="24"/>
          <w:szCs w:val="24"/>
        </w:rPr>
        <w:t>L’accessibilité</w:t>
      </w:r>
      <w:r>
        <w:rPr>
          <w:rFonts w:ascii="Times New Roman" w:hAnsi="Times New Roman"/>
          <w:sz w:val="24"/>
          <w:szCs w:val="24"/>
        </w:rPr>
        <w:t xml:space="preserve"> </w:t>
      </w:r>
      <w:r>
        <w:rPr>
          <w:rFonts w:ascii="Times New Roman" w:hAnsi="Times New Roman"/>
          <w:b/>
          <w:bCs/>
          <w:sz w:val="24"/>
          <w:szCs w:val="24"/>
        </w:rPr>
        <w:t>à la location ou à l’achat</w:t>
      </w:r>
      <w:r>
        <w:rPr>
          <w:rFonts w:ascii="Times New Roman" w:hAnsi="Times New Roman"/>
          <w:sz w:val="24"/>
          <w:szCs w:val="24"/>
        </w:rPr>
        <w:t>, est également une difficulté majeure qui touche les personnes dont les revenus sont constitués d’indemnités et de prestations sociales non saisissables. Cette difficulté d’accès aux financements est majeure pour un grand nombre de personnes sans logement digne.</w:t>
      </w:r>
    </w:p>
    <w:p>
      <w:pPr>
        <w:pStyle w:val="Heading2"/>
        <w:bidi w:val="0"/>
        <w:jc w:val="left"/>
        <w:rPr>
          <w:rFonts w:ascii="Times New Roman" w:hAnsi="Times New Roman"/>
          <w:sz w:val="24"/>
          <w:szCs w:val="24"/>
        </w:rPr>
      </w:pPr>
      <w:r>
        <w:rPr>
          <w:rFonts w:ascii="Times New Roman" w:hAnsi="Times New Roman"/>
          <w:b/>
          <w:sz w:val="24"/>
          <w:szCs w:val="24"/>
        </w:rPr>
        <w:t>II. L'habitat contre l'isolement</w:t>
      </w:r>
    </w:p>
    <w:p>
      <w:pPr>
        <w:pStyle w:val="BodyText"/>
        <w:bidi w:val="0"/>
        <w:jc w:val="left"/>
        <w:rPr>
          <w:rFonts w:ascii="Times New Roman" w:hAnsi="Times New Roman"/>
          <w:sz w:val="24"/>
          <w:szCs w:val="24"/>
        </w:rPr>
      </w:pPr>
      <w:r>
        <w:rPr>
          <w:rFonts w:ascii="Times New Roman" w:hAnsi="Times New Roman"/>
          <w:sz w:val="24"/>
          <w:szCs w:val="24"/>
        </w:rPr>
        <w:t>Le logement est un outil de lien social.</w:t>
      </w:r>
    </w:p>
    <w:p>
      <w:pPr>
        <w:pStyle w:val="BodyText"/>
        <w:numPr>
          <w:ilvl w:val="0"/>
          <w:numId w:val="3"/>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sz w:val="24"/>
          <w:szCs w:val="24"/>
        </w:rPr>
        <w:t>L'inaccessibilité est le premier facteur de « mort sociale » et d'institutionnalisation imposée.</w:t>
      </w:r>
    </w:p>
    <w:p>
      <w:pPr>
        <w:pStyle w:val="BodyText"/>
        <w:numPr>
          <w:ilvl w:val="0"/>
          <w:numId w:val="3"/>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b/>
          <w:sz w:val="24"/>
          <w:szCs w:val="24"/>
        </w:rPr>
        <w:t>L’habitat inclusif</w:t>
      </w:r>
      <w:r>
        <w:rPr>
          <w:rFonts w:ascii="Times New Roman" w:hAnsi="Times New Roman"/>
          <w:sz w:val="24"/>
          <w:szCs w:val="24"/>
        </w:rPr>
        <w:t xml:space="preserve"> promeut des modèles qui intègrent des espaces partagés et une ouverture sur la ville.</w:t>
      </w:r>
    </w:p>
    <w:p>
      <w:pPr>
        <w:pStyle w:val="BodyText"/>
        <w:numPr>
          <w:ilvl w:val="0"/>
          <w:numId w:val="3"/>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b/>
          <w:sz w:val="24"/>
          <w:szCs w:val="24"/>
        </w:rPr>
        <w:t xml:space="preserve">L’Union Européenne </w:t>
      </w:r>
      <w:r>
        <w:rPr>
          <w:rFonts w:ascii="Times New Roman" w:hAnsi="Times New Roman"/>
          <w:sz w:val="24"/>
          <w:szCs w:val="24"/>
        </w:rPr>
        <w:t>encourage le passage de l’hébergement en établissements de vie collective vers des services de proximité. Le logement évolutif est la clé de ce virage domiciliaire.</w:t>
      </w:r>
    </w:p>
    <w:p>
      <w:pPr>
        <w:pStyle w:val="Heading2"/>
        <w:bidi w:val="0"/>
        <w:jc w:val="left"/>
        <w:rPr>
          <w:rFonts w:ascii="Times New Roman" w:hAnsi="Times New Roman"/>
          <w:sz w:val="24"/>
          <w:szCs w:val="24"/>
        </w:rPr>
      </w:pPr>
      <w:r>
        <w:rPr>
          <w:rFonts w:ascii="Times New Roman" w:hAnsi="Times New Roman"/>
          <w:b/>
          <w:sz w:val="24"/>
          <w:szCs w:val="24"/>
        </w:rPr>
        <w:t>Pour une politique de l'habitat adaptatif</w:t>
      </w:r>
    </w:p>
    <w:p>
      <w:pPr>
        <w:pStyle w:val="BodyText"/>
        <w:numPr>
          <w:ilvl w:val="0"/>
          <w:numId w:val="4"/>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sz w:val="24"/>
          <w:szCs w:val="24"/>
        </w:rPr>
        <w:t>Au delà d’une contrainte réglementaire qui fige l’environnement dans un moment de l’histoire, l’accessibilité architecturale bouscule nos représentations, elle invite au partage d’espaces jusqu’à présent cloisonnés pour la sécurité, aseptisés pour la santé et privatisés au nom de la liberté.</w:t>
      </w:r>
    </w:p>
    <w:p>
      <w:pPr>
        <w:pStyle w:val="BodyText"/>
        <w:numPr>
          <w:ilvl w:val="0"/>
          <w:numId w:val="4"/>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sz w:val="24"/>
          <w:szCs w:val="24"/>
        </w:rPr>
        <w:t xml:space="preserve">Pour faire face au vieillissement de la population et à la diversité des discriminations qui conduisent à notre exclusion de l’espace commun, pour cesser de construire des cases étanches tellement protégées des bruits du monde qu’on dirait des tombes, l'urgence est de construire aujourd'hui des bâtiments accessibles dont l'intérieur peut être réinventé à tout moment. </w:t>
      </w:r>
    </w:p>
    <w:p>
      <w:pPr>
        <w:pStyle w:val="BodyText"/>
        <w:numPr>
          <w:ilvl w:val="0"/>
          <w:numId w:val="4"/>
        </w:numPr>
        <w:tabs>
          <w:tab w:val="clear" w:pos="567"/>
          <w:tab w:val="left" w:pos="709" w:leader="none"/>
        </w:tabs>
        <w:bidi w:val="0"/>
        <w:ind w:hanging="283" w:left="709"/>
        <w:jc w:val="both"/>
        <w:rPr>
          <w:rFonts w:ascii="Times New Roman" w:hAnsi="Times New Roman"/>
          <w:sz w:val="24"/>
          <w:szCs w:val="24"/>
        </w:rPr>
      </w:pPr>
      <w:r>
        <w:rPr>
          <w:rFonts w:ascii="Times New Roman" w:hAnsi="Times New Roman"/>
          <w:sz w:val="24"/>
          <w:szCs w:val="24"/>
        </w:rPr>
        <w:t>Le respect des droits fondamentaux tout au long de la vie ne vaut qu’au milieu des autres, et si le repos, le silence et la lenteur sont des mets que les épreuves et l’âge parfument délicatement, la pire solitude est celle du bocal. Invisible au milieu des autres, confortablement installé devant un buffet garni qui se dérobe à moi, abreuvé des bruits du monde par les réseaux et apeuré par les délires qui s’y croisent, sortir est compliqué voir épuisant quand la force ou les capacités se dérobent. J’habite la cité mais je ne peux en être l’acteur seul, j’ai besoin que d’autres soient là quand je suis égaré où inquiet. Je veux pouvoir ouvrir ma porte à celle ou celui qui en fait la demande, mais aussi la fermer à d’autres. Je veux me lever, me coucher, manger, me laver, recevoir, m’isoler ou me cultiver avec qui je veux.</w:t>
      </w:r>
    </w:p>
    <w:p>
      <w:pPr>
        <w:pStyle w:val="BodyText"/>
        <w:widowControl/>
        <w:tabs>
          <w:tab w:val="clear" w:pos="567"/>
          <w:tab w:val="left" w:pos="709" w:leader="none"/>
        </w:tabs>
        <w:suppressAutoHyphens w:val="true"/>
        <w:bidi w:val="0"/>
        <w:spacing w:lineRule="auto" w:line="276" w:before="0" w:after="140"/>
        <w:ind w:hanging="283" w:left="283" w:right="0"/>
        <w:jc w:val="left"/>
        <w:rPr>
          <w:rFonts w:ascii="Times New Roman" w:hAnsi="Times New Roman"/>
        </w:rPr>
      </w:pPr>
      <w:r>
        <w:rPr>
          <w:rFonts w:ascii="Times New Roman" w:hAnsi="Times New Roman"/>
          <w:b/>
          <w:color w:val="1F1F1F"/>
          <w:sz w:val="24"/>
          <w:szCs w:val="24"/>
        </w:rPr>
        <w:t>« L'Empouvoirement</w:t>
      </w:r>
      <w:r>
        <w:rPr>
          <w:rStyle w:val="FootnoteReference"/>
          <w:rFonts w:ascii="Times New Roman" w:hAnsi="Times New Roman"/>
          <w:b/>
          <w:color w:val="1F1F1F"/>
          <w:sz w:val="24"/>
          <w:szCs w:val="24"/>
        </w:rPr>
        <w:footnoteReference w:id="3"/>
      </w:r>
      <w:r>
        <w:rPr>
          <w:rFonts w:ascii="Times New Roman" w:hAnsi="Times New Roman"/>
          <w:b/>
          <w:color w:val="1F1F1F"/>
          <w:sz w:val="24"/>
          <w:szCs w:val="24"/>
        </w:rPr>
        <w:t> » : L'expertise de la transgression</w:t>
      </w:r>
    </w:p>
    <w:p>
      <w:pPr>
        <w:pStyle w:val="BodyText"/>
        <w:widowControl/>
        <w:tabs>
          <w:tab w:val="clear" w:pos="567"/>
          <w:tab w:val="left" w:pos="709" w:leader="none"/>
        </w:tabs>
        <w:suppressAutoHyphens w:val="true"/>
        <w:bidi w:val="0"/>
        <w:spacing w:lineRule="auto" w:line="276" w:before="0" w:after="140"/>
        <w:ind w:hanging="0" w:left="680" w:right="0"/>
        <w:jc w:val="both"/>
        <w:rPr>
          <w:rFonts w:ascii="Times New Roman" w:hAnsi="Times New Roman"/>
        </w:rPr>
      </w:pPr>
      <w:r>
        <w:rPr>
          <w:rFonts w:ascii="Times New Roman" w:hAnsi="Times New Roman"/>
          <w:color w:val="1F1F1F"/>
        </w:rPr>
        <w:t xml:space="preserve">Au-delà du concept policé du « pouvoir d'agir » souvent brandi par les professionnels et gestionnaires des lieux de vie médico-sociaux, </w:t>
      </w:r>
      <w:r>
        <w:rPr>
          <w:rFonts w:ascii="Times New Roman" w:hAnsi="Times New Roman"/>
          <w:b w:val="false"/>
          <w:bCs w:val="false"/>
          <w:color w:val="1F1F1F"/>
        </w:rPr>
        <w:t>l’empouvoirement</w:t>
      </w:r>
      <w:r>
        <w:rPr>
          <w:rFonts w:ascii="Times New Roman" w:hAnsi="Times New Roman"/>
          <w:color w:val="1F1F1F"/>
        </w:rPr>
        <w:t xml:space="preserve"> réside dans la réappropriation d'une souveraineté sur sa propre vie, là où les protocoles échouent. Vivre de manière autonome avec des déficiences n'est pas une question de conformité, mais une pratique quotidienne d’une </w:t>
      </w:r>
      <w:r>
        <w:rPr>
          <w:rFonts w:ascii="Times New Roman" w:hAnsi="Times New Roman"/>
          <w:b/>
          <w:bCs/>
          <w:color w:val="1F1F1F"/>
        </w:rPr>
        <w:t>interrogation des normes</w:t>
      </w:r>
      <w:r>
        <w:rPr>
          <w:rFonts w:ascii="Times New Roman" w:hAnsi="Times New Roman"/>
          <w:color w:val="1F1F1F"/>
        </w:rPr>
        <w:t>. Parce que l'environnement est structurellement inadapté, les personnes qui sont mises à l’écart doivent devenir architectes de leurs propres solutions, souvent au prix d'un détournement créatif des règles communes. C’est ici que la Pairémulation</w:t>
      </w:r>
      <w:r>
        <w:rPr>
          <w:rFonts w:eastAsia="Songti SC" w:cs="Arial Unicode MS" w:ascii="Times New Roman" w:hAnsi="Times New Roman"/>
          <w:color w:val="1F1F1F"/>
          <w:vertAlign w:val="superscript"/>
        </w:rPr>
        <w:t>®</w:t>
      </w:r>
      <w:r>
        <w:rPr>
          <w:rFonts w:ascii="Times New Roman" w:hAnsi="Times New Roman"/>
          <w:color w:val="1F1F1F"/>
        </w:rPr>
        <w:t xml:space="preserve"> et l’Intervention-Pair</w:t>
      </w:r>
      <w:r>
        <w:rPr>
          <w:rFonts w:eastAsia="Songti SC" w:cs="Arial Unicode MS" w:ascii="Times New Roman" w:hAnsi="Times New Roman"/>
          <w:b/>
          <w:bCs/>
          <w:color w:val="1F1F1F"/>
          <w:vertAlign w:val="superscript"/>
        </w:rPr>
        <w:t>®</w:t>
      </w:r>
      <w:r>
        <w:rPr>
          <w:rFonts w:ascii="Times New Roman" w:hAnsi="Times New Roman"/>
          <w:color w:val="1F1F1F"/>
        </w:rPr>
        <w:t xml:space="preserve"> </w:t>
      </w:r>
      <w:r>
        <w:rPr>
          <w:rFonts w:ascii="Times New Roman" w:hAnsi="Times New Roman"/>
          <w:color w:val="1F1F1F"/>
        </w:rPr>
        <w:t xml:space="preserve">se </w:t>
      </w:r>
      <w:r>
        <w:rPr>
          <w:rFonts w:ascii="Times New Roman" w:hAnsi="Times New Roman"/>
          <w:color w:val="1F1F1F"/>
        </w:rPr>
        <w:t xml:space="preserve">positionnent : il ne s'agit pas d'un accompagnement technique, mais d'une </w:t>
      </w:r>
      <w:r>
        <w:rPr>
          <w:rFonts w:ascii="Times New Roman" w:hAnsi="Times New Roman"/>
          <w:b/>
          <w:bCs/>
          <w:color w:val="1F1F1F"/>
        </w:rPr>
        <w:t>transmission de stratégies de survie et de liberté</w:t>
      </w:r>
      <w:r>
        <w:rPr>
          <w:rFonts w:ascii="Times New Roman" w:hAnsi="Times New Roman"/>
          <w:color w:val="1F1F1F"/>
        </w:rPr>
        <w:t>.</w:t>
      </w:r>
    </w:p>
    <w:p>
      <w:pPr>
        <w:pStyle w:val="BodyText"/>
        <w:widowControl/>
        <w:tabs>
          <w:tab w:val="clear" w:pos="567"/>
          <w:tab w:val="left" w:pos="709" w:leader="none"/>
        </w:tabs>
        <w:suppressAutoHyphens w:val="true"/>
        <w:bidi w:val="0"/>
        <w:spacing w:lineRule="auto" w:line="276" w:before="0" w:after="140"/>
        <w:ind w:hanging="0" w:left="680" w:right="0"/>
        <w:jc w:val="both"/>
        <w:rPr>
          <w:rFonts w:ascii="Times New Roman" w:hAnsi="Times New Roman"/>
          <w:color w:val="1F1F1F"/>
        </w:rPr>
      </w:pPr>
      <w:r>
        <w:rPr>
          <w:rFonts w:ascii="Times New Roman" w:hAnsi="Times New Roman"/>
          <w:color w:val="1F1F1F"/>
        </w:rPr>
      </w:r>
    </w:p>
    <w:p>
      <w:pPr>
        <w:pStyle w:val="BodyText"/>
        <w:widowControl/>
        <w:tabs>
          <w:tab w:val="clear" w:pos="567"/>
          <w:tab w:val="left" w:pos="709" w:leader="none"/>
        </w:tabs>
        <w:suppressAutoHyphens w:val="true"/>
        <w:bidi w:val="0"/>
        <w:spacing w:lineRule="auto" w:line="276" w:before="0" w:after="140"/>
        <w:ind w:hanging="0" w:left="680" w:right="0"/>
        <w:jc w:val="both"/>
        <w:rPr>
          <w:rFonts w:ascii="Times New Roman" w:hAnsi="Times New Roman"/>
        </w:rPr>
      </w:pPr>
      <w:r>
        <w:rPr>
          <w:rFonts w:ascii="Times New Roman" w:hAnsi="Times New Roman"/>
          <w:color w:val="1F1F1F"/>
        </w:rPr>
        <w:t>Apprendre à naviguer dans une vie faite de paradoxes, comme être incité à l'insertion professionnelle tout en étant administrativement étiqueté « incapable », briser les conventions pour accéder à des sanitaires ou rejoindre sa place par l’entrée des artistes, demande une agilité mentale et pratique que seul un pair peut valider. Les Intervenants-Pair</w:t>
      </w:r>
      <w:r>
        <w:rPr>
          <w:rFonts w:eastAsia="Songti SC" w:cs="Arial Unicode MS" w:ascii="Times New Roman" w:hAnsi="Times New Roman"/>
          <w:color w:val="1F1F1F"/>
          <w:vertAlign w:val="superscript"/>
        </w:rPr>
        <w:t>®</w:t>
      </w:r>
      <w:r>
        <w:rPr>
          <w:rFonts w:ascii="Times New Roman" w:hAnsi="Times New Roman"/>
          <w:color w:val="1F1F1F"/>
        </w:rPr>
        <w:t xml:space="preserve"> ne conseillent pas de « s’adapter » au système, ils partagent l’art de </w:t>
      </w:r>
      <w:r>
        <w:rPr>
          <w:rFonts w:ascii="Times New Roman" w:hAnsi="Times New Roman"/>
          <w:b/>
          <w:color w:val="1F1F1F"/>
        </w:rPr>
        <w:t xml:space="preserve">contourner les obstacles </w:t>
      </w:r>
      <w:r>
        <w:rPr>
          <w:rFonts w:ascii="Times New Roman" w:hAnsi="Times New Roman"/>
          <w:b w:val="false"/>
          <w:bCs w:val="false"/>
          <w:color w:val="1F1F1F"/>
        </w:rPr>
        <w:t xml:space="preserve">et de </w:t>
      </w:r>
      <w:r>
        <w:rPr>
          <w:rFonts w:ascii="Times New Roman" w:hAnsi="Times New Roman"/>
          <w:b/>
          <w:color w:val="1F1F1F"/>
        </w:rPr>
        <w:t xml:space="preserve">transformer les environnements. </w:t>
      </w:r>
      <w:r>
        <w:rPr>
          <w:rFonts w:ascii="Times New Roman" w:hAnsi="Times New Roman"/>
          <w:b w:val="false"/>
          <w:bCs w:val="false"/>
          <w:color w:val="1F1F1F"/>
        </w:rPr>
        <w:t xml:space="preserve">Vivre « déglingué » conduit à </w:t>
      </w:r>
      <w:r>
        <w:rPr>
          <w:rFonts w:ascii="Times New Roman" w:hAnsi="Times New Roman"/>
          <w:color w:val="1F1F1F"/>
        </w:rPr>
        <w:t xml:space="preserve">des modes de fonctionnement hors-pistes qu’il faut oser. Chaque tour de roue conduit à l’inconnu. Parfois c’est amusant, plus souvent c’est rageant quand ce n’est pas humiliant. Cet « empouvoirement-là » reconnaît que pour exprimer ses capacités, il faut parfois </w:t>
      </w:r>
      <w:r>
        <w:rPr>
          <w:rFonts w:ascii="Times New Roman" w:hAnsi="Times New Roman"/>
          <w:b/>
          <w:bCs/>
          <w:color w:val="1F1F1F"/>
        </w:rPr>
        <w:t>sortir de la légalité des usages pour entrer dans la légitimité des choix de vie</w:t>
      </w:r>
      <w:r>
        <w:rPr>
          <w:rFonts w:ascii="Times New Roman" w:hAnsi="Times New Roman"/>
          <w:color w:val="1F1F1F"/>
        </w:rPr>
        <w:t xml:space="preserve">. C’est en revendiquant cette expertise du « pas de côté » que </w:t>
      </w:r>
      <w:r>
        <w:rPr>
          <w:rFonts w:ascii="Times New Roman" w:hAnsi="Times New Roman"/>
          <w:color w:val="1F1F1F"/>
        </w:rPr>
        <w:t xml:space="preserve">nous proposons de </w:t>
      </w:r>
      <w:r>
        <w:rPr>
          <w:rFonts w:ascii="Times New Roman" w:hAnsi="Times New Roman"/>
          <w:color w:val="1F1F1F"/>
        </w:rPr>
        <w:t>transforme</w:t>
      </w:r>
      <w:r>
        <w:rPr>
          <w:rFonts w:ascii="Times New Roman" w:hAnsi="Times New Roman"/>
          <w:color w:val="1F1F1F"/>
        </w:rPr>
        <w:t>r</w:t>
      </w:r>
      <w:r>
        <w:rPr>
          <w:rFonts w:ascii="Times New Roman" w:hAnsi="Times New Roman"/>
          <w:color w:val="1F1F1F"/>
        </w:rPr>
        <w:t xml:space="preserve"> </w:t>
      </w:r>
      <w:r>
        <w:rPr>
          <w:rFonts w:ascii="Times New Roman" w:hAnsi="Times New Roman"/>
          <w:color w:val="1F1F1F"/>
        </w:rPr>
        <w:t xml:space="preserve">les </w:t>
      </w:r>
      <w:r>
        <w:rPr>
          <w:rFonts w:ascii="Times New Roman" w:hAnsi="Times New Roman"/>
          <w:color w:val="1F1F1F"/>
        </w:rPr>
        <w:t>environnement</w:t>
      </w:r>
      <w:r>
        <w:rPr>
          <w:rFonts w:ascii="Times New Roman" w:hAnsi="Times New Roman"/>
          <w:color w:val="1F1F1F"/>
        </w:rPr>
        <w:t>s</w:t>
      </w:r>
      <w:r>
        <w:rPr>
          <w:rFonts w:ascii="Times New Roman" w:hAnsi="Times New Roman"/>
          <w:color w:val="1F1F1F"/>
        </w:rPr>
        <w:t xml:space="preserve"> hostile</w:t>
      </w:r>
      <w:r>
        <w:rPr>
          <w:rFonts w:ascii="Times New Roman" w:hAnsi="Times New Roman"/>
          <w:color w:val="1F1F1F"/>
        </w:rPr>
        <w:t>s</w:t>
      </w:r>
      <w:r>
        <w:rPr>
          <w:rFonts w:ascii="Times New Roman" w:hAnsi="Times New Roman"/>
          <w:color w:val="1F1F1F"/>
        </w:rPr>
        <w:t xml:space="preserve"> en espace</w:t>
      </w:r>
      <w:r>
        <w:rPr>
          <w:rFonts w:ascii="Times New Roman" w:hAnsi="Times New Roman"/>
          <w:color w:val="1F1F1F"/>
        </w:rPr>
        <w:t>s</w:t>
      </w:r>
      <w:r>
        <w:rPr>
          <w:rFonts w:ascii="Times New Roman" w:hAnsi="Times New Roman"/>
          <w:color w:val="1F1F1F"/>
        </w:rPr>
        <w:t xml:space="preserve"> </w:t>
      </w:r>
      <w:r>
        <w:rPr>
          <w:rFonts w:ascii="Times New Roman" w:hAnsi="Times New Roman"/>
          <w:color w:val="1F1F1F"/>
        </w:rPr>
        <w:t>communs</w:t>
      </w:r>
      <w:r>
        <w:rPr>
          <w:rFonts w:ascii="Times New Roman" w:hAnsi="Times New Roman"/>
          <w:color w:val="1F1F1F"/>
        </w:rPr>
        <w:t>.</w:t>
      </w:r>
    </w:p>
    <w:p>
      <w:pPr>
        <w:pStyle w:val="BodyText"/>
        <w:widowControl/>
        <w:numPr>
          <w:ilvl w:val="0"/>
          <w:numId w:val="5"/>
        </w:numPr>
        <w:tabs>
          <w:tab w:val="clear" w:pos="567"/>
          <w:tab w:val="left" w:pos="709" w:leader="none"/>
        </w:tabs>
        <w:suppressAutoHyphens w:val="true"/>
        <w:bidi w:val="0"/>
        <w:spacing w:lineRule="auto" w:line="276" w:before="0" w:after="140"/>
        <w:jc w:val="both"/>
        <w:rPr/>
      </w:pPr>
      <w:r>
        <w:rPr>
          <w:rFonts w:ascii="Times New Roman" w:hAnsi="Times New Roman"/>
          <w:b/>
          <w:bCs/>
          <w:color w:val="1F1F1F"/>
        </w:rPr>
        <w:t>L'accessibilité « standard » est une illusion</w:t>
      </w:r>
      <w:r>
        <w:rPr>
          <w:rFonts w:ascii="Times New Roman" w:hAnsi="Times New Roman"/>
          <w:color w:val="1F1F1F"/>
        </w:rPr>
        <w:t xml:space="preserve">. La réalité est une suite de bricolages et de transgressions nécessaires telles que le sac à </w:t>
      </w:r>
      <w:r>
        <w:rPr>
          <w:rFonts w:ascii="Times New Roman" w:hAnsi="Times New Roman"/>
          <w:color w:val="1F1F1F"/>
        </w:rPr>
        <w:t>dos sur les</w:t>
      </w:r>
      <w:r>
        <w:rPr>
          <w:rFonts w:ascii="Times New Roman" w:hAnsi="Times New Roman"/>
          <w:color w:val="1F1F1F"/>
        </w:rPr>
        <w:t xml:space="preserve"> genoux ou l’utilisation des toilettes femmes </w:t>
      </w:r>
      <w:r>
        <w:rPr>
          <w:rFonts w:ascii="Times New Roman" w:hAnsi="Times New Roman"/>
          <w:color w:val="1F1F1F"/>
        </w:rPr>
        <w:t>quand celles pour les hommes sont inaccessibles</w:t>
      </w:r>
      <w:r>
        <w:rPr>
          <w:rFonts w:ascii="Times New Roman" w:hAnsi="Times New Roman"/>
          <w:color w:val="1F1F1F"/>
        </w:rPr>
        <w:t>.</w:t>
      </w:r>
    </w:p>
    <w:p>
      <w:pPr>
        <w:pStyle w:val="BodyText"/>
        <w:widowControl/>
        <w:numPr>
          <w:ilvl w:val="0"/>
          <w:numId w:val="5"/>
        </w:numPr>
        <w:tabs>
          <w:tab w:val="clear" w:pos="567"/>
          <w:tab w:val="left" w:pos="709" w:leader="none"/>
        </w:tabs>
        <w:suppressAutoHyphens w:val="true"/>
        <w:bidi w:val="0"/>
        <w:spacing w:lineRule="auto" w:line="276" w:before="0" w:after="140"/>
        <w:jc w:val="both"/>
        <w:rPr/>
      </w:pPr>
      <w:r>
        <w:rPr>
          <w:rFonts w:ascii="Times New Roman" w:hAnsi="Times New Roman"/>
          <w:b/>
          <w:color w:val="1F1F1F"/>
        </w:rPr>
        <w:t>La Pairémulation</w:t>
      </w:r>
      <w:r>
        <w:rPr>
          <w:rFonts w:eastAsia="Songti SC" w:cs="Arial Unicode MS" w:ascii="Times New Roman" w:hAnsi="Times New Roman"/>
          <w:b/>
          <w:color w:val="1F1F1F"/>
          <w:vertAlign w:val="superscript"/>
        </w:rPr>
        <w:t>®</w:t>
      </w:r>
      <w:r>
        <w:rPr>
          <w:rFonts w:ascii="Times New Roman" w:hAnsi="Times New Roman"/>
          <w:b/>
          <w:color w:val="1F1F1F"/>
        </w:rPr>
        <w:t xml:space="preserve"> comme savoir politique :</w:t>
      </w:r>
      <w:r>
        <w:rPr>
          <w:rFonts w:ascii="Times New Roman" w:hAnsi="Times New Roman"/>
          <w:color w:val="1F1F1F"/>
        </w:rPr>
        <w:t xml:space="preserve"> Le conseil par les pairs n'est pas un soutien psychologique, c'est un partage de « hacks » de vie. C’est la transmission d'une culture de la résistance face à </w:t>
      </w:r>
      <w:r>
        <w:rPr>
          <w:rFonts w:ascii="Times New Roman" w:hAnsi="Times New Roman"/>
          <w:color w:val="1F1F1F"/>
        </w:rPr>
        <w:t>des</w:t>
      </w:r>
      <w:r>
        <w:rPr>
          <w:rFonts w:ascii="Times New Roman" w:hAnsi="Times New Roman"/>
          <w:color w:val="1F1F1F"/>
        </w:rPr>
        <w:t xml:space="preserve"> environnement</w:t>
      </w:r>
      <w:r>
        <w:rPr>
          <w:rFonts w:ascii="Times New Roman" w:hAnsi="Times New Roman"/>
          <w:color w:val="1F1F1F"/>
        </w:rPr>
        <w:t>s</w:t>
      </w:r>
      <w:r>
        <w:rPr>
          <w:rFonts w:ascii="Times New Roman" w:hAnsi="Times New Roman"/>
          <w:color w:val="1F1F1F"/>
        </w:rPr>
        <w:t xml:space="preserve"> qui impose</w:t>
      </w:r>
      <w:r>
        <w:rPr>
          <w:rFonts w:ascii="Times New Roman" w:hAnsi="Times New Roman"/>
          <w:color w:val="1F1F1F"/>
        </w:rPr>
        <w:t>nt</w:t>
      </w:r>
      <w:r>
        <w:rPr>
          <w:rFonts w:ascii="Times New Roman" w:hAnsi="Times New Roman"/>
          <w:color w:val="1F1F1F"/>
        </w:rPr>
        <w:t xml:space="preserve"> des paradoxes absurdes.</w:t>
      </w:r>
    </w:p>
    <w:p>
      <w:pPr>
        <w:pStyle w:val="BodyText"/>
        <w:widowControl/>
        <w:numPr>
          <w:ilvl w:val="0"/>
          <w:numId w:val="5"/>
        </w:numPr>
        <w:tabs>
          <w:tab w:val="clear" w:pos="567"/>
          <w:tab w:val="left" w:pos="709" w:leader="none"/>
        </w:tabs>
        <w:suppressAutoHyphens w:val="true"/>
        <w:bidi w:val="0"/>
        <w:spacing w:lineRule="auto" w:line="276" w:before="0" w:after="140"/>
        <w:jc w:val="both"/>
        <w:rPr/>
      </w:pPr>
      <w:r>
        <w:rPr>
          <w:rFonts w:ascii="Times New Roman" w:hAnsi="Times New Roman"/>
          <w:b/>
          <w:color w:val="1F1F1F"/>
        </w:rPr>
        <w:t>L'environnement facilitant par le détournement :</w:t>
      </w:r>
      <w:r>
        <w:rPr>
          <w:rFonts w:ascii="Times New Roman" w:hAnsi="Times New Roman"/>
          <w:color w:val="1F1F1F"/>
        </w:rPr>
        <w:t xml:space="preserve"> Un logement ou une ville sont « facilitants » non pas quand ils sont simplement aux normes, mais quand ils permettent à </w:t>
      </w:r>
      <w:r>
        <w:rPr>
          <w:rFonts w:ascii="Times New Roman" w:hAnsi="Times New Roman"/>
          <w:color w:val="1F1F1F"/>
        </w:rPr>
        <w:t xml:space="preserve">ses habitants </w:t>
      </w:r>
      <w:r>
        <w:rPr>
          <w:rFonts w:ascii="Times New Roman" w:hAnsi="Times New Roman"/>
          <w:color w:val="1F1F1F"/>
        </w:rPr>
        <w:t xml:space="preserve">de manipuler </w:t>
      </w:r>
      <w:r>
        <w:rPr>
          <w:rFonts w:ascii="Times New Roman" w:hAnsi="Times New Roman"/>
          <w:color w:val="1F1F1F"/>
        </w:rPr>
        <w:t xml:space="preserve">leurs </w:t>
      </w:r>
      <w:r>
        <w:rPr>
          <w:rFonts w:ascii="Times New Roman" w:hAnsi="Times New Roman"/>
          <w:color w:val="1F1F1F"/>
        </w:rPr>
        <w:t>espace</w:t>
      </w:r>
      <w:r>
        <w:rPr>
          <w:rFonts w:ascii="Times New Roman" w:hAnsi="Times New Roman"/>
          <w:color w:val="1F1F1F"/>
        </w:rPr>
        <w:t>s</w:t>
      </w:r>
      <w:r>
        <w:rPr>
          <w:rFonts w:ascii="Times New Roman" w:hAnsi="Times New Roman"/>
          <w:color w:val="1F1F1F"/>
        </w:rPr>
        <w:t xml:space="preserve"> pour qu'il</w:t>
      </w:r>
      <w:r>
        <w:rPr>
          <w:rFonts w:ascii="Times New Roman" w:hAnsi="Times New Roman"/>
          <w:color w:val="1F1F1F"/>
        </w:rPr>
        <w:t>s</w:t>
      </w:r>
      <w:r>
        <w:rPr>
          <w:rFonts w:ascii="Times New Roman" w:hAnsi="Times New Roman"/>
          <w:color w:val="1F1F1F"/>
        </w:rPr>
        <w:t xml:space="preserve"> réponde</w:t>
      </w:r>
      <w:r>
        <w:rPr>
          <w:rFonts w:ascii="Times New Roman" w:hAnsi="Times New Roman"/>
          <w:color w:val="1F1F1F"/>
        </w:rPr>
        <w:t>nt</w:t>
      </w:r>
      <w:r>
        <w:rPr>
          <w:rFonts w:ascii="Times New Roman" w:hAnsi="Times New Roman"/>
          <w:color w:val="1F1F1F"/>
        </w:rPr>
        <w:t xml:space="preserve"> à </w:t>
      </w:r>
      <w:r>
        <w:rPr>
          <w:rFonts w:ascii="Times New Roman" w:hAnsi="Times New Roman"/>
          <w:color w:val="1F1F1F"/>
        </w:rPr>
        <w:t>leurs</w:t>
      </w:r>
      <w:r>
        <w:rPr>
          <w:rFonts w:ascii="Times New Roman" w:hAnsi="Times New Roman"/>
          <w:color w:val="1F1F1F"/>
        </w:rPr>
        <w:t xml:space="preserve"> </w:t>
      </w:r>
      <w:r>
        <w:rPr>
          <w:rFonts w:ascii="Times New Roman" w:hAnsi="Times New Roman"/>
          <w:color w:val="1F1F1F"/>
        </w:rPr>
        <w:t>potentiels</w:t>
      </w:r>
      <w:r>
        <w:rPr>
          <w:rFonts w:ascii="Times New Roman" w:hAnsi="Times New Roman"/>
          <w:color w:val="1F1F1F"/>
        </w:rPr>
        <w:t xml:space="preserve">, même </w:t>
      </w:r>
      <w:r>
        <w:rPr>
          <w:rFonts w:ascii="Times New Roman" w:hAnsi="Times New Roman"/>
          <w:color w:val="1F1F1F"/>
        </w:rPr>
        <w:t>quand</w:t>
      </w:r>
      <w:r>
        <w:rPr>
          <w:rFonts w:ascii="Times New Roman" w:hAnsi="Times New Roman"/>
          <w:color w:val="1F1F1F"/>
        </w:rPr>
        <w:t xml:space="preserve"> cela bouscule l'ordre établi.</w:t>
      </w:r>
    </w:p>
    <w:p>
      <w:pPr>
        <w:pStyle w:val="BodyText"/>
        <w:widowControl/>
        <w:numPr>
          <w:ilvl w:val="0"/>
          <w:numId w:val="0"/>
        </w:numPr>
        <w:tabs>
          <w:tab w:val="clear" w:pos="567"/>
          <w:tab w:val="left" w:pos="709" w:leader="none"/>
        </w:tabs>
        <w:suppressAutoHyphens w:val="true"/>
        <w:bidi w:val="0"/>
        <w:spacing w:lineRule="auto" w:line="276" w:before="0" w:after="140"/>
        <w:ind w:hanging="0" w:left="680" w:right="0"/>
        <w:jc w:val="both"/>
        <w:rPr/>
      </w:pPr>
      <w:r>
        <w:rPr>
          <w:rFonts w:ascii="Times New Roman" w:hAnsi="Times New Roman"/>
          <w:color w:val="1F1F1F"/>
        </w:rPr>
        <w:t xml:space="preserve">L'isolement social naît souvent de l'épuisement à vouloir entrer dans des cases trop petites. </w:t>
      </w:r>
    </w:p>
    <w:p>
      <w:pPr>
        <w:pStyle w:val="BodyText"/>
        <w:widowControl/>
        <w:numPr>
          <w:ilvl w:val="0"/>
          <w:numId w:val="0"/>
        </w:numPr>
        <w:tabs>
          <w:tab w:val="clear" w:pos="567"/>
          <w:tab w:val="left" w:pos="709" w:leader="none"/>
        </w:tabs>
        <w:suppressAutoHyphens w:val="true"/>
        <w:bidi w:val="0"/>
        <w:spacing w:lineRule="auto" w:line="276" w:before="0" w:after="140"/>
        <w:ind w:hanging="0" w:left="680" w:right="0"/>
        <w:jc w:val="both"/>
        <w:rPr>
          <w:rFonts w:ascii="Times New Roman" w:hAnsi="Times New Roman"/>
          <w:color w:val="1F1F1F"/>
        </w:rPr>
      </w:pPr>
      <w:r>
        <w:rPr>
          <w:rFonts w:ascii="Times New Roman" w:hAnsi="Times New Roman"/>
          <w:color w:val="1F1F1F"/>
        </w:rPr>
        <w:t xml:space="preserve">L'empouvoirement, c'est s'autoriser à agrandir la case </w:t>
      </w:r>
      <w:r>
        <w:rPr>
          <w:rFonts w:ascii="Times New Roman" w:hAnsi="Times New Roman"/>
          <w:color w:val="1F1F1F"/>
        </w:rPr>
        <w:t xml:space="preserve">ou à </w:t>
      </w:r>
      <w:r>
        <w:rPr>
          <w:rFonts w:ascii="Times New Roman" w:hAnsi="Times New Roman"/>
          <w:color w:val="1F1F1F"/>
        </w:rPr>
        <w:t>en sortir.</w:t>
      </w:r>
    </w:p>
    <w:p>
      <w:pPr>
        <w:pStyle w:val="Normal"/>
        <w:bidi w:val="0"/>
        <w:jc w:val="left"/>
        <w:rPr>
          <w:rFonts w:ascii="Times New Roman" w:hAnsi="Times New Roman"/>
          <w:sz w:val="24"/>
          <w:szCs w:val="24"/>
        </w:rPr>
      </w:pPr>
      <w:r>
        <w:rPr>
          <w:rFonts w:ascii="Times New Roman" w:hAnsi="Times New Roman"/>
          <w:sz w:val="24"/>
          <w:szCs w:val="24"/>
        </w:rPr>
        <w:drawing>
          <wp:anchor distT="0" distB="0" distL="0" distR="0" simplePos="0" relativeHeight="3" behindDoc="0" locked="0" layoutInCell="0" allowOverlap="1">
            <wp:simplePos x="0" y="0"/>
            <wp:positionH relativeFrom="column">
              <wp:posOffset>377825</wp:posOffset>
            </wp:positionH>
            <wp:positionV relativeFrom="paragraph">
              <wp:posOffset>10795</wp:posOffset>
            </wp:positionV>
            <wp:extent cx="5291455" cy="2628900"/>
            <wp:effectExtent l="0" t="0" r="0" b="0"/>
            <wp:wrapSquare wrapText="largest"/>
            <wp:docPr id="2"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pic:cNvPicPr>
                      <a:picLocks noChangeAspect="1" noChangeArrowheads="1"/>
                    </pic:cNvPicPr>
                  </pic:nvPicPr>
                  <pic:blipFill>
                    <a:blip r:embed="rId3"/>
                    <a:stretch>
                      <a:fillRect/>
                    </a:stretch>
                  </pic:blipFill>
                  <pic:spPr bwMode="auto">
                    <a:xfrm>
                      <a:off x="0" y="0"/>
                      <a:ext cx="5291455" cy="2628900"/>
                    </a:xfrm>
                    <a:prstGeom prst="rect">
                      <a:avLst/>
                    </a:prstGeom>
                    <a:noFill/>
                  </pic:spPr>
                </pic:pic>
              </a:graphicData>
            </a:graphic>
          </wp:anchor>
        </w:drawing>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BodyText"/>
        <w:widowControl/>
        <w:suppressAutoHyphens w:val="true"/>
        <w:bidi w:val="0"/>
        <w:spacing w:lineRule="auto" w:line="276" w:before="0" w:after="0"/>
        <w:ind w:hanging="0" w:left="1644" w:right="57"/>
        <w:jc w:val="right"/>
        <w:rPr>
          <w:b w:val="false"/>
          <w:bCs w:val="false"/>
        </w:rPr>
      </w:pPr>
      <w:r>
        <w:rPr>
          <w:b w:val="false"/>
          <w:bCs w:val="false"/>
        </w:rPr>
        <w:t>Jean-Luc Simon</w:t>
      </w:r>
    </w:p>
    <w:p>
      <w:pPr>
        <w:pStyle w:val="BodyText"/>
        <w:widowControl/>
        <w:suppressAutoHyphens w:val="true"/>
        <w:bidi w:val="0"/>
        <w:spacing w:lineRule="auto" w:line="276" w:before="0" w:after="0"/>
        <w:ind w:hanging="0" w:left="1644" w:right="57"/>
        <w:jc w:val="right"/>
        <w:rPr>
          <w:b w:val="false"/>
          <w:bCs w:val="false"/>
        </w:rPr>
      </w:pPr>
      <w:r>
        <w:rPr>
          <w:b w:val="false"/>
          <w:bCs w:val="false"/>
        </w:rPr>
        <w:t>Président</w:t>
      </w:r>
    </w:p>
    <w:sectPr>
      <w:footnotePr>
        <w:numFmt w:val="decimal"/>
      </w:footnote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Sans">
    <w:altName w:val="Arial"/>
    <w:charset w:val="01"/>
    <w:family w:val="swiss"/>
    <w:pitch w:val="variable"/>
  </w:font>
  <w:font w:name="Times New Roman">
    <w:charset w:val="01"/>
    <w:family w:val="roman"/>
    <w:pitch w:val="variable"/>
  </w:font>
  <w:font w:name="Symbol">
    <w:charset w:val="01"/>
    <w:family w:val="auto"/>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pPr>
      <w:r>
        <w:rPr>
          <w:rStyle w:val="Caractresdenotedebasdepage"/>
        </w:rPr>
        <w:footnoteRef/>
      </w:r>
      <w:r>
        <w:rPr/>
        <w:tab/>
        <w:t xml:space="preserve">Un logement est dit </w:t>
      </w:r>
      <w:r>
        <w:rPr>
          <w:i/>
          <w:iCs/>
        </w:rPr>
        <w:t>accessible</w:t>
      </w:r>
      <w:r>
        <w:rPr/>
        <w:t xml:space="preserve"> quand il est possible d’en rejoindre l’entrée sans barrière, de la rue à la porte donc, et dit </w:t>
      </w:r>
      <w:r>
        <w:rPr>
          <w:i/>
          <w:iCs/>
        </w:rPr>
        <w:t>adapté</w:t>
      </w:r>
      <w:r>
        <w:rPr/>
        <w:t xml:space="preserve"> quand l’intérieur du logement est personnalisé (Hauteur et positionnement des sanitaires, cuisine, bureau, positionnement, stockage et entretien des aides techniques...)</w:t>
      </w:r>
    </w:p>
  </w:footnote>
  <w:footnote w:id="3">
    <w:p>
      <w:pPr>
        <w:pStyle w:val="FootnoteText"/>
        <w:widowControl/>
        <w:ind w:hanging="0" w:left="0" w:right="0"/>
        <w:rPr>
          <w:rFonts w:ascii="Times New Roman" w:hAnsi="Times New Roman"/>
          <w:b w:val="false"/>
          <w:i w:val="false"/>
          <w:iCs w:val="false"/>
          <w:color w:val="202122"/>
          <w:spacing w:val="0"/>
          <w:sz w:val="18"/>
          <w:szCs w:val="18"/>
        </w:rPr>
      </w:pPr>
      <w:r>
        <w:rPr>
          <w:rStyle w:val="Caractresdenotedebasdepage"/>
        </w:rPr>
        <w:footnoteRef/>
      </w:r>
      <w:r>
        <w:rPr>
          <w:rFonts w:ascii="Times New Roman" w:hAnsi="Times New Roman"/>
          <w:b w:val="false"/>
          <w:i w:val="false"/>
          <w:iCs w:val="false"/>
          <w:color w:val="202122"/>
          <w:spacing w:val="0"/>
          <w:sz w:val="18"/>
          <w:szCs w:val="18"/>
        </w:rPr>
        <w:t>: « E</w:t>
      </w:r>
      <w:r>
        <w:rPr>
          <w:rFonts w:ascii="Times New Roman" w:hAnsi="Times New Roman"/>
          <w:b/>
          <w:i w:val="false"/>
          <w:iCs w:val="false"/>
          <w:color w:val="202122"/>
          <w:spacing w:val="0"/>
          <w:sz w:val="18"/>
          <w:szCs w:val="18"/>
        </w:rPr>
        <w:t>mpouvoirement »</w:t>
      </w:r>
      <w:r>
        <w:rPr>
          <w:rFonts w:ascii="Times New Roman" w:hAnsi="Times New Roman"/>
          <w:b w:val="false"/>
          <w:bCs w:val="false"/>
          <w:i w:val="false"/>
          <w:iCs w:val="false"/>
          <w:color w:val="202122"/>
          <w:spacing w:val="0"/>
          <w:sz w:val="18"/>
          <w:szCs w:val="18"/>
        </w:rPr>
        <w:t xml:space="preserve"> est u</w:t>
      </w:r>
      <w:r>
        <w:rPr>
          <w:rFonts w:ascii="Times New Roman" w:hAnsi="Times New Roman"/>
          <w:b w:val="false"/>
          <w:i w:val="false"/>
          <w:iCs w:val="false"/>
          <w:color w:val="202122"/>
          <w:spacing w:val="0"/>
          <w:sz w:val="18"/>
          <w:szCs w:val="18"/>
        </w:rPr>
        <w:t>ne traduction française du mot </w:t>
      </w:r>
      <w:r>
        <w:rPr>
          <w:rFonts w:ascii="Times New Roman" w:hAnsi="Times New Roman"/>
          <w:b/>
          <w:bCs/>
          <w:i w:val="false"/>
          <w:iCs w:val="false"/>
          <w:color w:val="202122"/>
          <w:spacing w:val="0"/>
          <w:sz w:val="18"/>
          <w:szCs w:val="18"/>
        </w:rPr>
        <w:t>« </w:t>
      </w:r>
      <w:r>
        <w:rPr>
          <w:rFonts w:ascii="Times New Roman" w:hAnsi="Times New Roman"/>
          <w:b/>
          <w:bCs/>
          <w:i/>
          <w:iCs/>
          <w:color w:val="202122"/>
          <w:spacing w:val="0"/>
          <w:sz w:val="18"/>
          <w:szCs w:val="18"/>
        </w:rPr>
        <w:t xml:space="preserve">empowerment » </w:t>
      </w:r>
      <w:r>
        <w:rPr>
          <w:rFonts w:ascii="Times New Roman" w:hAnsi="Times New Roman"/>
          <w:b w:val="false"/>
          <w:bCs w:val="false"/>
          <w:i w:val="false"/>
          <w:iCs w:val="false"/>
          <w:color w:val="202122"/>
          <w:spacing w:val="0"/>
          <w:sz w:val="18"/>
          <w:szCs w:val="18"/>
        </w:rPr>
        <w:t xml:space="preserve">dont le sens </w:t>
      </w:r>
      <w:r>
        <w:rPr>
          <w:rFonts w:ascii="Times New Roman" w:hAnsi="Times New Roman"/>
          <w:b w:val="false"/>
          <w:i w:val="false"/>
          <w:iCs w:val="false"/>
          <w:color w:val="202122"/>
          <w:spacing w:val="0"/>
          <w:sz w:val="18"/>
          <w:szCs w:val="18"/>
        </w:rPr>
        <w:t>mêle acceptation de soi, confiance, estime, ambition et pouvoir.</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
    <w:lvl w:ilvl="0">
      <w:start w:val="1"/>
      <w:numFmt w:val="decimal"/>
      <w:lvlText w:val="%1."/>
      <w:lvlJc w:val="left"/>
      <w:pPr>
        <w:tabs>
          <w:tab w:val="num" w:pos="1400"/>
        </w:tabs>
        <w:ind w:left="1400" w:hanging="360"/>
      </w:pPr>
      <w:rPr/>
    </w:lvl>
    <w:lvl w:ilvl="1">
      <w:start w:val="1"/>
      <w:numFmt w:val="decimal"/>
      <w:lvlText w:val="%2."/>
      <w:lvlJc w:val="left"/>
      <w:pPr>
        <w:tabs>
          <w:tab w:val="num" w:pos="1760"/>
        </w:tabs>
        <w:ind w:left="1760" w:hanging="360"/>
      </w:pPr>
      <w:rPr/>
    </w:lvl>
    <w:lvl w:ilvl="2">
      <w:start w:val="1"/>
      <w:numFmt w:val="decimal"/>
      <w:lvlText w:val="%3."/>
      <w:lvlJc w:val="left"/>
      <w:pPr>
        <w:tabs>
          <w:tab w:val="num" w:pos="2120"/>
        </w:tabs>
        <w:ind w:left="2120" w:hanging="360"/>
      </w:pPr>
      <w:rPr/>
    </w:lvl>
    <w:lvl w:ilvl="3">
      <w:start w:val="1"/>
      <w:numFmt w:val="decimal"/>
      <w:lvlText w:val="%4."/>
      <w:lvlJc w:val="left"/>
      <w:pPr>
        <w:tabs>
          <w:tab w:val="num" w:pos="2480"/>
        </w:tabs>
        <w:ind w:left="2480" w:hanging="360"/>
      </w:pPr>
      <w:rPr/>
    </w:lvl>
    <w:lvl w:ilvl="4">
      <w:start w:val="1"/>
      <w:numFmt w:val="decimal"/>
      <w:lvlText w:val="%5."/>
      <w:lvlJc w:val="left"/>
      <w:pPr>
        <w:tabs>
          <w:tab w:val="num" w:pos="2840"/>
        </w:tabs>
        <w:ind w:left="2840" w:hanging="360"/>
      </w:pPr>
      <w:rPr/>
    </w:lvl>
    <w:lvl w:ilvl="5">
      <w:start w:val="1"/>
      <w:numFmt w:val="decimal"/>
      <w:lvlText w:val="%6."/>
      <w:lvlJc w:val="left"/>
      <w:pPr>
        <w:tabs>
          <w:tab w:val="num" w:pos="3200"/>
        </w:tabs>
        <w:ind w:left="3200" w:hanging="360"/>
      </w:pPr>
      <w:rPr/>
    </w:lvl>
    <w:lvl w:ilvl="6">
      <w:start w:val="1"/>
      <w:numFmt w:val="decimal"/>
      <w:lvlText w:val="%7."/>
      <w:lvlJc w:val="left"/>
      <w:pPr>
        <w:tabs>
          <w:tab w:val="num" w:pos="3560"/>
        </w:tabs>
        <w:ind w:left="3560" w:hanging="360"/>
      </w:pPr>
      <w:rPr/>
    </w:lvl>
    <w:lvl w:ilvl="7">
      <w:start w:val="1"/>
      <w:numFmt w:val="decimal"/>
      <w:lvlText w:val="%8."/>
      <w:lvlJc w:val="left"/>
      <w:pPr>
        <w:tabs>
          <w:tab w:val="num" w:pos="3920"/>
        </w:tabs>
        <w:ind w:left="3920" w:hanging="360"/>
      </w:pPr>
      <w:rPr/>
    </w:lvl>
    <w:lvl w:ilvl="8">
      <w:start w:val="1"/>
      <w:numFmt w:val="decimal"/>
      <w:lvlText w:val="%9."/>
      <w:lvlJc w:val="left"/>
      <w:pPr>
        <w:tabs>
          <w:tab w:val="num" w:pos="4280"/>
        </w:tabs>
        <w:ind w:left="4280" w:hanging="36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10"/>
  <w:defaultTabStop w:val="567"/>
  <w:autoHyphenation w:val="true"/>
  <w:hyphenationZone w:val="0"/>
  <w:footnotePr>
    <w:numFmt w:val="decimal"/>
    <w:footnote w:id="0"/>
    <w:footnote w:id="1"/>
  </w:footnotePr>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ongti SC" w:cs="Arial Unicode MS"/>
      <w:color w:val="auto"/>
      <w:kern w:val="2"/>
      <w:sz w:val="24"/>
      <w:szCs w:val="24"/>
      <w:lang w:val="fr-FR" w:eastAsia="zh-CN" w:bidi="hi-IN"/>
    </w:rPr>
  </w:style>
  <w:style w:type="paragraph" w:styleId="Heading2">
    <w:name w:val="heading 2"/>
    <w:basedOn w:val="Titre"/>
    <w:next w:val="BodyText"/>
    <w:qFormat/>
    <w:pPr>
      <w:spacing w:before="200" w:after="120"/>
      <w:outlineLvl w:val="1"/>
    </w:pPr>
    <w:rPr>
      <w:rFonts w:ascii="Liberation Serif" w:hAnsi="Liberation Serif" w:eastAsia="Songti SC" w:cs="Arial Unicode MS"/>
      <w:b/>
      <w:bCs/>
      <w:sz w:val="36"/>
      <w:szCs w:val="36"/>
    </w:rPr>
  </w:style>
  <w:style w:type="paragraph" w:styleId="Heading3">
    <w:name w:val="heading 3"/>
    <w:basedOn w:val="Titre"/>
    <w:next w:val="BodyText"/>
    <w:qFormat/>
    <w:pPr>
      <w:spacing w:before="140" w:after="120"/>
      <w:outlineLvl w:val="2"/>
    </w:pPr>
    <w:rPr>
      <w:rFonts w:ascii="Liberation Serif" w:hAnsi="Liberation Serif" w:eastAsia="Songti SC" w:cs="Arial Unicode MS"/>
      <w:b/>
      <w:bCs/>
      <w:sz w:val="28"/>
      <w:szCs w:val="28"/>
    </w:rPr>
  </w:style>
  <w:style w:type="character" w:styleId="Puces">
    <w:name w:val="Puces"/>
    <w:qFormat/>
    <w:rPr>
      <w:rFonts w:ascii="OpenSymbol" w:hAnsi="OpenSymbol" w:eastAsia="OpenSymbol" w:cs="OpenSymbol"/>
    </w:rPr>
  </w:style>
  <w:style w:type="character" w:styleId="Caractresdenumrotationuser">
    <w:name w:val="Caractères de numérotation (user)"/>
    <w:qFormat/>
    <w:rPr/>
  </w:style>
  <w:style w:type="character" w:styleId="Caractresdenotedebasdepageuser">
    <w:name w:val="Caractères de note de bas de page (user)"/>
    <w:qFormat/>
    <w:rPr>
      <w:vertAlign w:val="superscript"/>
    </w:rPr>
  </w:style>
  <w:style w:type="character" w:styleId="Caractresdenotedebasdepage">
    <w:name w:val="Caractères de note de bas de page"/>
    <w:qFormat/>
    <w:rPr>
      <w:vertAlign w:val="superscript"/>
    </w:rPr>
  </w:style>
  <w:style w:type="character" w:styleId="FootnoteReference">
    <w:name w:val="footnote reference"/>
    <w:rPr>
      <w:vertAlign w:val="superscript"/>
    </w:rPr>
  </w:style>
  <w:style w:type="character" w:styleId="Caractresdenotedefin">
    <w:name w:val="Caractères de note de fin"/>
    <w:qFormat/>
    <w:rPr>
      <w:vertAlign w:val="superscript"/>
    </w:rPr>
  </w:style>
  <w:style w:type="character" w:styleId="Caractresdenotedefinuser">
    <w:name w:val="Caractères de note de fin (user)"/>
    <w:qFormat/>
    <w:rPr/>
  </w:style>
  <w:style w:type="character" w:styleId="EndnoteReference">
    <w:name w:val="endnote reference"/>
    <w:rPr>
      <w:vertAlign w:val="superscript"/>
    </w:rPr>
  </w:style>
  <w:style w:type="paragraph" w:styleId="Titre">
    <w:name w:val="Titre"/>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reuser">
    <w:name w:val="Titre (user)"/>
    <w:basedOn w:val="Normal"/>
    <w:next w:val="BodyText"/>
    <w:qFormat/>
    <w:pPr>
      <w:keepNext w:val="true"/>
      <w:spacing w:before="240" w:after="120"/>
    </w:pPr>
    <w:rPr>
      <w:rFonts w:ascii="Liberation Sans" w:hAnsi="Liberation Sans" w:eastAsia="Arial Unicode MS" w:cs="Arial Unicode MS"/>
      <w:sz w:val="28"/>
      <w:szCs w:val="28"/>
    </w:rPr>
  </w:style>
  <w:style w:type="paragraph" w:styleId="Lignehorizontale">
    <w:name w:val="Ligne horizontale"/>
    <w:basedOn w:val="Normal"/>
    <w:next w:val="BodyText"/>
    <w:qFormat/>
    <w:pPr>
      <w:suppressLineNumbers/>
      <w:pBdr>
        <w:bottom w:val="double" w:sz="2" w:space="0" w:color="808080"/>
      </w:pBdr>
      <w:spacing w:before="0" w:after="283"/>
    </w:pPr>
    <w:rPr>
      <w:sz w:val="12"/>
      <w:szCs w:val="12"/>
    </w:rPr>
  </w:style>
  <w:style w:type="paragraph" w:styleId="Blocdecitation">
    <w:name w:val="Bloc de citation"/>
    <w:basedOn w:val="Normal"/>
    <w:qFormat/>
    <w:pPr>
      <w:spacing w:before="0" w:after="283"/>
      <w:ind w:hanging="0" w:left="567" w:right="567"/>
    </w:pPr>
    <w:rPr/>
  </w:style>
  <w:style w:type="paragraph" w:styleId="Lignehorizontaleuser">
    <w:name w:val="Ligne horizontale (user)"/>
    <w:basedOn w:val="Normal"/>
    <w:next w:val="BodyText"/>
    <w:qFormat/>
    <w:pPr>
      <w:suppressLineNumbers/>
      <w:pBdr>
        <w:bottom w:val="double" w:sz="2" w:space="0" w:color="808080"/>
      </w:pBdr>
      <w:spacing w:before="0" w:after="283"/>
    </w:pPr>
    <w:rPr>
      <w:sz w:val="12"/>
      <w:szCs w:val="12"/>
    </w:rPr>
  </w:style>
  <w:style w:type="paragraph" w:styleId="FootnoteText">
    <w:name w:val="footnote text"/>
    <w:basedOn w:val="Normal"/>
    <w:pPr>
      <w:suppressLineNumbers/>
      <w:ind w:hanging="340" w:left="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image" Target="media/image2.jpeg"/><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68</TotalTime>
  <Application>LibreOffice/25.8.6.2$MacOSX_AARCH64 LibreOffice_project/b4b39682cd9868fa725bc664aff94278d315bd04</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2026-04-14T15:17:04Z</dcterms:created>
  <dc:creator>Jean-Luc Simon</dc:creator>
  <dc:description/>
  <dc:language>fr-FR</dc:language>
  <cp:lastModifiedBy>Jean-Luc Simon</cp:lastModifiedBy>
  <cp:lastPrinted>2026-04-19T15:12:44Z</cp:lastPrinted>
  <dcterms:modified xsi:type="dcterms:W3CDTF">2026-04-30T21:45:06Z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